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06565255" w:rsidR="00B86116" w:rsidRPr="00DC4DAE" w:rsidRDefault="005625B4" w:rsidP="00DC4DAE">
            <w:pPr>
              <w:spacing w:before="40" w:after="40"/>
              <w:ind w:right="457"/>
              <w:rPr>
                <w:rStyle w:val="PlaceholderText"/>
                <w:rFonts w:eastAsia="Calibri"/>
              </w:rPr>
            </w:pPr>
            <w:r w:rsidRPr="005625B4">
              <w:rPr>
                <w:rFonts w:ascii="Calibri" w:hAnsi="Calibri" w:cs="Calibri"/>
              </w:rPr>
              <w:t>Data and Quality Officer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4086D75E" w:rsidR="00257BFB" w:rsidRPr="00E9748D" w:rsidRDefault="00E9748D" w:rsidP="00E9748D">
            <w:pPr>
              <w:spacing w:before="40" w:after="40"/>
              <w:ind w:right="457"/>
              <w:rPr>
                <w:rStyle w:val="PlaceholderText"/>
                <w:rFonts w:eastAsia="Calibri"/>
              </w:rPr>
            </w:pPr>
            <w:r w:rsidRPr="00E9748D">
              <w:rPr>
                <w:rFonts w:ascii="Calibri" w:hAnsi="Calibri" w:cs="Calibri"/>
              </w:rPr>
              <w:t>Townsville, Queensland</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3C5ED38D" w:rsidR="00257BFB" w:rsidRPr="006A343B" w:rsidRDefault="006A343B" w:rsidP="006A343B">
            <w:pPr>
              <w:spacing w:before="40" w:after="40"/>
              <w:ind w:right="457"/>
              <w:rPr>
                <w:rStyle w:val="PlaceholderText"/>
                <w:rFonts w:eastAsia="Calibri"/>
              </w:rPr>
            </w:pPr>
            <w:r w:rsidRPr="006A343B">
              <w:rPr>
                <w:rFonts w:ascii="Calibri" w:hAnsi="Calibri" w:cs="Calibri"/>
              </w:rPr>
              <w:t>Community and Youth Services</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24800534" w:rsidR="00257BFB" w:rsidRPr="00690CE6" w:rsidRDefault="00690CE6" w:rsidP="00690CE6">
            <w:pPr>
              <w:spacing w:before="40" w:after="40"/>
              <w:ind w:right="457"/>
              <w:rPr>
                <w:rStyle w:val="PlaceholderText"/>
                <w:rFonts w:eastAsia="Calibri"/>
              </w:rPr>
            </w:pPr>
            <w:r w:rsidRPr="00690CE6">
              <w:rPr>
                <w:rFonts w:ascii="Calibri" w:hAnsi="Calibri" w:cs="Calibri"/>
              </w:rPr>
              <w:t>Governance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399066A9" w:rsidR="00257BFB" w:rsidRPr="0025376C" w:rsidRDefault="0025376C" w:rsidP="0025376C">
            <w:pPr>
              <w:spacing w:before="40" w:after="40"/>
              <w:ind w:right="457"/>
              <w:rPr>
                <w:rStyle w:val="PlaceholderText"/>
                <w:rFonts w:eastAsia="Calibri"/>
              </w:rPr>
            </w:pPr>
            <w:r w:rsidRPr="0025376C">
              <w:rPr>
                <w:rFonts w:ascii="Calibri" w:hAnsi="Calibri" w:cs="Calibri"/>
              </w:rPr>
              <w:t>Nil direct reports</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0480D937" w:rsidR="00257BFB" w:rsidRPr="007F1809" w:rsidRDefault="00CD4356" w:rsidP="007F1809">
            <w:pPr>
              <w:spacing w:before="40" w:after="40"/>
              <w:ind w:right="457"/>
              <w:rPr>
                <w:rStyle w:val="PlaceholderText"/>
                <w:rFonts w:eastAsia="Calibri"/>
              </w:rPr>
            </w:pPr>
            <w:r>
              <w:rPr>
                <w:rFonts w:ascii="Calibri" w:hAnsi="Calibri" w:cs="Calibri"/>
              </w:rPr>
              <w:t>SHADS Level 5</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09F4190C" w:rsidR="00257BFB" w:rsidRPr="001A57F4" w:rsidRDefault="00C84115" w:rsidP="001A57F4">
            <w:pPr>
              <w:spacing w:before="40" w:after="40"/>
              <w:ind w:right="457"/>
              <w:rPr>
                <w:rStyle w:val="PlaceholderText"/>
                <w:rFonts w:eastAsia="Calibri"/>
              </w:rPr>
            </w:pPr>
            <w:r>
              <w:rPr>
                <w:rFonts w:ascii="Calibri" w:hAnsi="Calibri" w:cs="Calibri"/>
              </w:rPr>
              <w:t>14/07/2026</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w:t>
      </w:r>
      <w:proofErr w:type="gramStart"/>
      <w:r w:rsidR="00A24B7B" w:rsidRPr="004D2DDA">
        <w:rPr>
          <w:rFonts w:ascii="Calibri" w:hAnsi="Calibri" w:cs="Calibri"/>
          <w:color w:val="auto"/>
          <w:sz w:val="22"/>
          <w:szCs w:val="22"/>
          <w:lang w:val="en-US"/>
        </w:rPr>
        <w:t>from Commonwealth</w:t>
      </w:r>
      <w:proofErr w:type="gramEnd"/>
      <w:r w:rsidR="00A24B7B" w:rsidRPr="004D2DDA">
        <w:rPr>
          <w:rFonts w:ascii="Calibri" w:hAnsi="Calibri" w:cs="Calibri"/>
          <w:color w:val="auto"/>
          <w:sz w:val="22"/>
          <w:szCs w:val="22"/>
          <w:lang w:val="en-US"/>
        </w:rPr>
        <w:t xml:space="preserve">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48F7DEAB" w14:textId="77777777" w:rsidR="002602A3" w:rsidRDefault="002602A3" w:rsidP="002602A3">
      <w:pPr>
        <w:pStyle w:val="BodyText"/>
        <w:spacing w:line="240" w:lineRule="auto"/>
        <w:rPr>
          <w:rFonts w:ascii="Calibri" w:hAnsi="Calibri" w:cs="Calibri"/>
          <w:b/>
          <w:bCs/>
          <w:color w:val="auto"/>
          <w:sz w:val="28"/>
          <w:szCs w:val="28"/>
          <w:lang w:val="en-US"/>
        </w:rPr>
      </w:pPr>
      <w:bookmarkStart w:id="1" w:name="_Hlk42244393"/>
      <w:r w:rsidRPr="0082310C">
        <w:rPr>
          <w:rFonts w:ascii="Calibri" w:hAnsi="Calibri" w:cs="Calibri"/>
          <w:b/>
          <w:bCs/>
          <w:color w:val="auto"/>
          <w:sz w:val="28"/>
          <w:szCs w:val="28"/>
          <w:lang w:val="en-US"/>
        </w:rPr>
        <w:t xml:space="preserve">Our </w:t>
      </w:r>
      <w:r>
        <w:rPr>
          <w:rFonts w:ascii="Calibri" w:hAnsi="Calibri" w:cs="Calibri"/>
          <w:b/>
          <w:bCs/>
          <w:color w:val="auto"/>
          <w:sz w:val="28"/>
          <w:szCs w:val="28"/>
          <w:lang w:val="en-US"/>
        </w:rPr>
        <w:t>Mission</w:t>
      </w:r>
    </w:p>
    <w:p w14:paraId="68261B16" w14:textId="77777777" w:rsidR="002602A3" w:rsidRDefault="002602A3" w:rsidP="002602A3">
      <w:pPr>
        <w:pStyle w:val="BodyText"/>
        <w:spacing w:line="240" w:lineRule="auto"/>
        <w:rPr>
          <w:rFonts w:ascii="Calibri" w:hAnsi="Calibri" w:cs="Calibri"/>
          <w:b/>
          <w:bCs/>
          <w:color w:val="auto"/>
          <w:sz w:val="28"/>
          <w:szCs w:val="28"/>
          <w:lang w:val="en-US"/>
        </w:rPr>
      </w:pPr>
    </w:p>
    <w:p w14:paraId="18EA1A73" w14:textId="77777777" w:rsidR="002602A3" w:rsidRPr="00AB1BF8" w:rsidRDefault="002602A3" w:rsidP="002602A3">
      <w:pPr>
        <w:pStyle w:val="BodyText"/>
        <w:spacing w:line="240" w:lineRule="auto"/>
        <w:rPr>
          <w:rFonts w:ascii="Calibri" w:hAnsi="Calibri" w:cs="Calibri"/>
          <w:color w:val="auto"/>
          <w:sz w:val="22"/>
          <w:szCs w:val="22"/>
          <w:lang w:val="en-US"/>
        </w:rPr>
      </w:pPr>
      <w:r w:rsidRPr="00AB1BF8">
        <w:rPr>
          <w:rFonts w:ascii="Calibri" w:hAnsi="Calibri" w:cs="Calibri"/>
          <w:color w:val="auto"/>
          <w:sz w:val="22"/>
          <w:szCs w:val="22"/>
          <w:lang w:val="en-US"/>
        </w:rPr>
        <w:t>TAIHS is more than a health service.</w:t>
      </w:r>
    </w:p>
    <w:p w14:paraId="68056021" w14:textId="77777777" w:rsidR="002602A3" w:rsidRDefault="002602A3" w:rsidP="002602A3">
      <w:pPr>
        <w:pStyle w:val="BodyText"/>
        <w:spacing w:line="240" w:lineRule="auto"/>
        <w:rPr>
          <w:rFonts w:ascii="Calibri" w:hAnsi="Calibri" w:cs="Calibri"/>
          <w:color w:val="auto"/>
          <w:sz w:val="22"/>
          <w:szCs w:val="22"/>
          <w:lang w:val="en-US"/>
        </w:rPr>
      </w:pPr>
    </w:p>
    <w:p w14:paraId="7822E84D" w14:textId="5DE3C607" w:rsidR="00201637" w:rsidRDefault="00201637" w:rsidP="00A917FA">
      <w:pPr>
        <w:pStyle w:val="BodyText"/>
        <w:spacing w:line="240" w:lineRule="auto"/>
        <w:rPr>
          <w:rFonts w:ascii="Calibri" w:hAnsi="Calibri" w:cs="Calibri"/>
          <w:color w:val="auto"/>
          <w:sz w:val="22"/>
          <w:szCs w:val="22"/>
          <w:lang w:val="en-US"/>
        </w:rPr>
      </w:pPr>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3C4769DC" w:rsidR="00201637" w:rsidRDefault="00AB1BF8"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Our vision is to improve the health and wellbeing of Aboriginal and Torres Strait Islander people in Townsville and the surrounding region by providing accessible and integrated health and human services.</w:t>
      </w:r>
    </w:p>
    <w:p w14:paraId="2AC4B004" w14:textId="77777777" w:rsidR="00AB1BF8" w:rsidRDefault="00AB1BF8" w:rsidP="00A917FA">
      <w:pPr>
        <w:pStyle w:val="BodyText"/>
        <w:spacing w:line="240" w:lineRule="auto"/>
        <w:rPr>
          <w:rFonts w:ascii="Calibri" w:hAnsi="Calibri" w:cs="Calibri"/>
          <w:color w:val="auto"/>
          <w:sz w:val="22"/>
          <w:szCs w:val="22"/>
          <w:lang w:val="en-US"/>
        </w:rPr>
      </w:pP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508DE3BB" w:rsidR="008B1D5E" w:rsidRDefault="00A158E8" w:rsidP="00AB1BF8">
      <w:pPr>
        <w:tabs>
          <w:tab w:val="left" w:pos="7665"/>
          <w:tab w:val="right" w:pos="9638"/>
        </w:tabs>
        <w:rPr>
          <w:rFonts w:ascii="Calibri" w:hAnsi="Calibri" w:cs="Calibri"/>
          <w:b/>
          <w:bCs/>
          <w:szCs w:val="22"/>
          <w:lang w:val="en-US"/>
        </w:rPr>
      </w:pPr>
      <w:r>
        <w:rPr>
          <w:rFonts w:ascii="Calibri" w:hAnsi="Calibri" w:cs="Calibri"/>
          <w:b/>
          <w:bCs/>
          <w:szCs w:val="22"/>
          <w:lang w:val="en-US"/>
        </w:rPr>
        <w:tab/>
      </w:r>
      <w:r>
        <w:rPr>
          <w:rFonts w:ascii="Calibri" w:hAnsi="Calibri" w:cs="Calibri"/>
          <w:b/>
          <w:bCs/>
          <w:szCs w:val="22"/>
          <w:lang w:val="en-US"/>
        </w:rPr>
        <w:tab/>
      </w: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lastRenderedPageBreak/>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24129119"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Respond, Lead, Act with Integrity </w:t>
      </w:r>
      <w:r w:rsidRPr="00505CF9">
        <w:rPr>
          <w:rFonts w:ascii="Calibri" w:hAnsi="Calibri" w:cs="Calibri"/>
          <w:szCs w:val="22"/>
        </w:rPr>
        <w:t xml:space="preserve"> </w:t>
      </w:r>
    </w:p>
    <w:p w14:paraId="45E8B50F" w14:textId="77553BF4"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Accountability, Respect, Respond, Achieve </w:t>
      </w:r>
    </w:p>
    <w:p w14:paraId="0B76D5E0" w14:textId="1BE9F19C"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Collaboration, Partner, Integrate, Engage </w:t>
      </w:r>
    </w:p>
    <w:p w14:paraId="68F79930" w14:textId="44592E1D"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sidRPr="00AB1BF8">
        <w:rPr>
          <w:rFonts w:ascii="Calibri" w:hAnsi="Calibri" w:cs="Calibri"/>
          <w:szCs w:val="22"/>
        </w:rPr>
        <w:t>Innovation, Create, Venture,</w:t>
      </w:r>
      <w:r w:rsidR="00A158E8">
        <w:rPr>
          <w:rFonts w:ascii="Calibri" w:hAnsi="Calibri" w:cs="Calibri"/>
          <w:i/>
          <w:iCs/>
          <w:szCs w:val="22"/>
        </w:rPr>
        <w:t xml:space="preserve"> Sustain, Educate</w:t>
      </w:r>
    </w:p>
    <w:p w14:paraId="48E1CF84" w14:textId="77777777" w:rsidR="00484705" w:rsidRPr="00AB1BF8"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AB1BF8">
        <w:rPr>
          <w:rFonts w:ascii="Calibri" w:hAnsi="Calibri" w:cs="Calibri"/>
          <w:szCs w:val="22"/>
        </w:rPr>
        <w:t xml:space="preserve">Advocate, Motivate, Communicate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2C15E649" w14:textId="788A247F" w:rsidR="00E716DE" w:rsidRPr="00AB1BF8" w:rsidRDefault="008B1D5E" w:rsidP="000A1CFD">
      <w:pPr>
        <w:numPr>
          <w:ilvl w:val="0"/>
          <w:numId w:val="2"/>
        </w:numPr>
        <w:ind w:left="709" w:hanging="349"/>
        <w:rPr>
          <w:rFonts w:ascii="Calibri" w:hAnsi="Calibri" w:cs="Calibri"/>
          <w:b/>
          <w:bCs/>
          <w:szCs w:val="22"/>
          <w:lang w:val="en-US"/>
        </w:rPr>
      </w:pPr>
      <w:r w:rsidRPr="00A158E8">
        <w:rPr>
          <w:rFonts w:ascii="Calibri" w:hAnsi="Calibri" w:cs="Calibri"/>
          <w:b/>
          <w:bCs/>
          <w:szCs w:val="22"/>
          <w:lang w:val="en-US"/>
        </w:rPr>
        <w:t xml:space="preserve">Access and Capability </w:t>
      </w:r>
      <w:r w:rsidRPr="00A158E8">
        <w:rPr>
          <w:rFonts w:ascii="Calibri" w:hAnsi="Calibri" w:cs="Calibri"/>
          <w:szCs w:val="22"/>
          <w:lang w:val="en-US"/>
        </w:rPr>
        <w:t xml:space="preserve">– </w:t>
      </w:r>
      <w:r w:rsidR="00A158E8" w:rsidRPr="00AB1BF8">
        <w:rPr>
          <w:rFonts w:asciiTheme="minorHAnsi" w:hAnsiTheme="minorHAnsi" w:cstheme="minorHAnsi"/>
          <w:i/>
          <w:iCs/>
        </w:rPr>
        <w:t>Ensure community access to high quality, culturally safe and responsive health and human services</w:t>
      </w:r>
    </w:p>
    <w:p w14:paraId="45E3B936" w14:textId="77777777" w:rsidR="00AB1BF8" w:rsidRPr="00AB1BF8" w:rsidRDefault="00AB1BF8" w:rsidP="00AB1BF8">
      <w:pPr>
        <w:ind w:left="709"/>
        <w:rPr>
          <w:rFonts w:ascii="Calibri" w:hAnsi="Calibri" w:cs="Calibri"/>
          <w:b/>
          <w:bCs/>
          <w:szCs w:val="22"/>
          <w:lang w:val="en-US"/>
        </w:rPr>
      </w:pPr>
    </w:p>
    <w:p w14:paraId="5F304EB1" w14:textId="300EB45C" w:rsidR="00625DD4" w:rsidRPr="00AB1BF8" w:rsidRDefault="00625DD4" w:rsidP="00A917FA">
      <w:pPr>
        <w:numPr>
          <w:ilvl w:val="0"/>
          <w:numId w:val="2"/>
        </w:numPr>
        <w:ind w:left="709" w:hanging="349"/>
        <w:rPr>
          <w:rFonts w:asciiTheme="minorHAnsi" w:hAnsiTheme="minorHAnsi" w:cstheme="minorHAns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w:t>
      </w:r>
      <w:r w:rsidR="00A158E8" w:rsidRPr="00AB1BF8">
        <w:rPr>
          <w:rFonts w:asciiTheme="minorHAnsi" w:hAnsiTheme="minorHAnsi" w:cstheme="minorHAnsi"/>
          <w:i/>
          <w:iCs/>
        </w:rPr>
        <w:t>Plan, design and deliver services that meet community need</w:t>
      </w:r>
      <w:r w:rsidR="00A158E8" w:rsidRPr="00AB1BF8">
        <w:rPr>
          <w:rFonts w:asciiTheme="minorHAnsi" w:hAnsiTheme="minorHAnsi" w:cstheme="minorHAnsi"/>
        </w:rPr>
        <w:t>s</w:t>
      </w:r>
    </w:p>
    <w:p w14:paraId="5B47C3C7" w14:textId="77777777" w:rsidR="00E716DE" w:rsidRPr="00AB1BF8" w:rsidRDefault="00E716DE" w:rsidP="00A917FA">
      <w:pPr>
        <w:rPr>
          <w:rFonts w:asciiTheme="minorHAnsi" w:hAnsiTheme="minorHAnsi" w:cstheme="minorHAnsi"/>
          <w:i/>
          <w:iCs/>
          <w:szCs w:val="22"/>
          <w:lang w:val="en-US"/>
        </w:rPr>
      </w:pPr>
    </w:p>
    <w:p w14:paraId="6B2E7D36" w14:textId="14A0F97A" w:rsidR="00625DD4" w:rsidRPr="00AB1BF8" w:rsidRDefault="00625DD4" w:rsidP="00A917FA">
      <w:pPr>
        <w:numPr>
          <w:ilvl w:val="0"/>
          <w:numId w:val="2"/>
        </w:numPr>
        <w:rPr>
          <w:rFonts w:asciiTheme="minorHAnsi" w:hAnsiTheme="minorHAnsi" w:cstheme="minorHAnsi"/>
          <w:b/>
          <w:bCs/>
          <w:szCs w:val="22"/>
          <w:lang w:val="en-US"/>
        </w:rPr>
      </w:pPr>
      <w:r w:rsidRPr="00AB1BF8">
        <w:rPr>
          <w:rFonts w:asciiTheme="minorHAnsi" w:hAnsiTheme="minorHAnsi" w:cstheme="minorHAnsi"/>
          <w:b/>
          <w:bCs/>
          <w:szCs w:val="22"/>
          <w:lang w:val="en-US"/>
        </w:rPr>
        <w:t>Culture and Community</w:t>
      </w:r>
      <w:r w:rsidR="00E716DE" w:rsidRPr="00AB1BF8">
        <w:rPr>
          <w:rFonts w:asciiTheme="minorHAnsi" w:hAnsiTheme="minorHAnsi" w:cstheme="minorHAnsi"/>
          <w:b/>
          <w:bCs/>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Embed Aboriginal and Torres Strait Islander cultural values in the organisation’s policies, practices and relationships</w:t>
      </w:r>
    </w:p>
    <w:p w14:paraId="71866B3D" w14:textId="77777777" w:rsidR="00E716DE" w:rsidRPr="00AB1BF8" w:rsidRDefault="00E716DE" w:rsidP="00A917FA">
      <w:pPr>
        <w:rPr>
          <w:rFonts w:asciiTheme="minorHAnsi" w:hAnsiTheme="minorHAnsi" w:cstheme="minorHAnsi"/>
          <w:b/>
          <w:bCs/>
          <w:szCs w:val="22"/>
          <w:lang w:val="en-US"/>
        </w:rPr>
      </w:pPr>
    </w:p>
    <w:p w14:paraId="7061D9EF" w14:textId="6E2930A7" w:rsidR="00AB1BF8" w:rsidRPr="00AB1BF8" w:rsidRDefault="00625DD4" w:rsidP="00AB1BF8">
      <w:pPr>
        <w:pStyle w:val="ListParagraph"/>
        <w:numPr>
          <w:ilvl w:val="0"/>
          <w:numId w:val="2"/>
        </w:numPr>
        <w:rPr>
          <w:rFonts w:asciiTheme="minorHAnsi" w:hAnsiTheme="minorHAnsi" w:cstheme="minorHAnsi"/>
          <w:i/>
          <w:iCs/>
          <w:sz w:val="22"/>
          <w:szCs w:val="22"/>
        </w:rPr>
      </w:pPr>
      <w:r w:rsidRPr="00AB1BF8">
        <w:rPr>
          <w:rFonts w:asciiTheme="minorHAnsi" w:hAnsiTheme="minorHAnsi" w:cstheme="minorHAnsi"/>
          <w:b/>
          <w:bCs/>
          <w:sz w:val="22"/>
          <w:szCs w:val="22"/>
          <w:lang w:val="en-US"/>
        </w:rPr>
        <w:t>People</w:t>
      </w:r>
      <w:r w:rsidR="00E716DE" w:rsidRPr="00AB1BF8">
        <w:rPr>
          <w:rFonts w:asciiTheme="minorHAnsi" w:hAnsiTheme="minorHAnsi" w:cstheme="minorHAnsi"/>
          <w:b/>
          <w:bCs/>
          <w:sz w:val="22"/>
          <w:szCs w:val="22"/>
          <w:lang w:val="en-US"/>
        </w:rPr>
        <w:t xml:space="preserve"> </w:t>
      </w:r>
      <w:r w:rsidR="00E716DE" w:rsidRPr="00AB1BF8">
        <w:rPr>
          <w:rFonts w:asciiTheme="minorHAnsi" w:hAnsiTheme="minorHAnsi" w:cstheme="minorHAnsi"/>
          <w:b/>
          <w:bCs/>
          <w:i/>
          <w:iCs/>
          <w:sz w:val="22"/>
          <w:szCs w:val="22"/>
          <w:lang w:val="en-US"/>
        </w:rPr>
        <w:t xml:space="preserve">– </w:t>
      </w:r>
      <w:r w:rsidR="00A158E8" w:rsidRPr="00AB1BF8">
        <w:rPr>
          <w:rFonts w:asciiTheme="minorHAnsi" w:hAnsiTheme="minorHAnsi" w:cstheme="minorHAnsi"/>
          <w:i/>
          <w:iCs/>
          <w:sz w:val="22"/>
          <w:szCs w:val="22"/>
        </w:rPr>
        <w:t>Empower the organisation and community to act in culturally responsive ways</w:t>
      </w:r>
    </w:p>
    <w:p w14:paraId="2FE4EC3C" w14:textId="77777777" w:rsidR="00AB1BF8" w:rsidRPr="00AB1BF8" w:rsidRDefault="00AB1BF8" w:rsidP="00A158E8">
      <w:pPr>
        <w:rPr>
          <w:rFonts w:asciiTheme="minorHAnsi" w:hAnsiTheme="minorHAnsi" w:cstheme="minorHAnsi"/>
          <w:b/>
          <w:bCs/>
          <w:szCs w:val="22"/>
          <w:lang w:val="en-US"/>
        </w:rPr>
      </w:pPr>
    </w:p>
    <w:p w14:paraId="7EEB1C62" w14:textId="6E5CD969" w:rsidR="00A158E8" w:rsidRPr="00AB1BF8" w:rsidRDefault="00625DD4" w:rsidP="00AB1BF8">
      <w:pPr>
        <w:pStyle w:val="ListParagraph"/>
        <w:numPr>
          <w:ilvl w:val="0"/>
          <w:numId w:val="2"/>
        </w:numPr>
        <w:rPr>
          <w:rFonts w:ascii="Calibri" w:hAnsi="Calibri" w:cs="Calibri"/>
          <w:szCs w:val="22"/>
          <w:lang w:val="en-US"/>
        </w:rPr>
      </w:pPr>
      <w:r w:rsidRPr="00AB1BF8">
        <w:rPr>
          <w:rFonts w:asciiTheme="minorHAnsi" w:hAnsiTheme="minorHAnsi" w:cstheme="minorHAnsi"/>
          <w:b/>
          <w:bCs/>
          <w:sz w:val="22"/>
          <w:szCs w:val="22"/>
          <w:lang w:val="en-US"/>
        </w:rPr>
        <w:t>Sustainability and Governance</w:t>
      </w:r>
      <w:r w:rsidR="00E716DE" w:rsidRPr="00AB1BF8">
        <w:rPr>
          <w:rFonts w:asciiTheme="minorHAnsi" w:hAnsiTheme="minorHAnsi" w:cstheme="minorHAnsi"/>
          <w:i/>
          <w:iCs/>
          <w:sz w:val="22"/>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Build a strong foundation for the organisation’s long-term success, leadership and influence</w:t>
      </w:r>
      <w:r w:rsidR="00A158E8" w:rsidRPr="00AB1BF8" w:rsidDel="00A158E8">
        <w:rPr>
          <w:rFonts w:asciiTheme="minorHAnsi" w:hAnsiTheme="minorHAnsi" w:cstheme="minorHAnsi"/>
          <w:i/>
          <w:iCs/>
          <w:szCs w:val="22"/>
          <w:lang w:val="en-US"/>
        </w:rPr>
        <w:t xml:space="preserve"> </w:t>
      </w:r>
    </w:p>
    <w:p w14:paraId="2B9960B1" w14:textId="77777777" w:rsidR="00A158E8" w:rsidRPr="00AB1BF8" w:rsidRDefault="00A158E8" w:rsidP="00A158E8">
      <w:pPr>
        <w:rPr>
          <w:rFonts w:ascii="Calibri" w:hAnsi="Calibri" w:cs="Calibri"/>
          <w:szCs w:val="22"/>
          <w:lang w:val="en-US"/>
        </w:rPr>
      </w:pPr>
    </w:p>
    <w:p w14:paraId="6606AC9B" w14:textId="77777777" w:rsidR="00A158E8" w:rsidRPr="00AB1BF8" w:rsidRDefault="00A158E8" w:rsidP="00A158E8">
      <w:pPr>
        <w:rPr>
          <w:rFonts w:ascii="Calibri" w:hAnsi="Calibri" w:cs="Calibri"/>
          <w:szCs w:val="22"/>
          <w:lang w:val="en-US"/>
        </w:rPr>
      </w:pPr>
    </w:p>
    <w:p w14:paraId="2F30AA09" w14:textId="77777777" w:rsidR="00A158E8" w:rsidRPr="00AB1BF8" w:rsidRDefault="00A158E8" w:rsidP="00A158E8">
      <w:pPr>
        <w:rPr>
          <w:rFonts w:ascii="Calibri" w:hAnsi="Calibri" w:cs="Calibri"/>
          <w:szCs w:val="22"/>
          <w:lang w:val="en-US"/>
        </w:rPr>
      </w:pPr>
    </w:p>
    <w:p w14:paraId="5C5A9B25" w14:textId="77777777" w:rsidR="00A158E8" w:rsidRPr="00AB1BF8" w:rsidRDefault="00A158E8" w:rsidP="00A158E8">
      <w:pPr>
        <w:rPr>
          <w:rFonts w:ascii="Calibri" w:hAnsi="Calibri" w:cs="Calibri"/>
          <w:szCs w:val="22"/>
          <w:lang w:val="en-US"/>
        </w:rPr>
      </w:pPr>
    </w:p>
    <w:p w14:paraId="37F5443A" w14:textId="77777777" w:rsidR="00A158E8" w:rsidRPr="00AB1BF8" w:rsidRDefault="00A158E8" w:rsidP="00A158E8">
      <w:pPr>
        <w:rPr>
          <w:rFonts w:ascii="Calibri" w:hAnsi="Calibri" w:cs="Calibri"/>
          <w:szCs w:val="22"/>
          <w:lang w:val="en-US"/>
        </w:rPr>
      </w:pPr>
    </w:p>
    <w:p w14:paraId="61345A1C" w14:textId="77777777" w:rsidR="00A158E8" w:rsidRPr="00AB1BF8" w:rsidRDefault="00A158E8" w:rsidP="00A158E8">
      <w:pPr>
        <w:rPr>
          <w:rFonts w:ascii="Calibri" w:hAnsi="Calibri" w:cs="Calibri"/>
          <w:szCs w:val="22"/>
          <w:lang w:val="en-US"/>
        </w:rPr>
      </w:pPr>
    </w:p>
    <w:p w14:paraId="1AE8D8D8" w14:textId="77777777" w:rsidR="00A158E8" w:rsidRPr="00AB1BF8" w:rsidRDefault="00A158E8" w:rsidP="00A158E8">
      <w:pPr>
        <w:rPr>
          <w:rFonts w:ascii="Calibri" w:hAnsi="Calibri" w:cs="Calibri"/>
          <w:szCs w:val="22"/>
          <w:lang w:val="en-US"/>
        </w:rPr>
      </w:pPr>
    </w:p>
    <w:p w14:paraId="5E6237ED" w14:textId="77777777" w:rsidR="00A158E8" w:rsidRPr="00AB1BF8" w:rsidRDefault="00A158E8" w:rsidP="00A158E8">
      <w:pPr>
        <w:rPr>
          <w:rFonts w:ascii="Calibri" w:hAnsi="Calibri" w:cs="Calibri"/>
          <w:szCs w:val="22"/>
          <w:lang w:val="en-US"/>
        </w:rPr>
      </w:pPr>
    </w:p>
    <w:p w14:paraId="5173B369" w14:textId="77777777" w:rsidR="00A158E8" w:rsidRPr="00AB1BF8" w:rsidRDefault="00A158E8" w:rsidP="00A158E8">
      <w:pPr>
        <w:rPr>
          <w:rFonts w:ascii="Calibri" w:hAnsi="Calibri" w:cs="Calibri"/>
          <w:szCs w:val="22"/>
          <w:lang w:val="en-US"/>
        </w:rPr>
      </w:pPr>
    </w:p>
    <w:p w14:paraId="1DA8CD1E" w14:textId="77777777" w:rsidR="00A158E8" w:rsidRPr="00AB1BF8" w:rsidRDefault="00A158E8" w:rsidP="00A158E8">
      <w:pPr>
        <w:rPr>
          <w:rFonts w:ascii="Calibri" w:hAnsi="Calibri" w:cs="Calibri"/>
          <w:szCs w:val="22"/>
          <w:lang w:val="en-US"/>
        </w:rPr>
      </w:pPr>
    </w:p>
    <w:p w14:paraId="5EAA59DE" w14:textId="77777777" w:rsidR="00A158E8" w:rsidRPr="00AB1BF8" w:rsidRDefault="00A158E8" w:rsidP="00A158E8">
      <w:pPr>
        <w:rPr>
          <w:rFonts w:ascii="Calibri" w:hAnsi="Calibri" w:cs="Calibri"/>
          <w:szCs w:val="22"/>
          <w:lang w:val="en-US"/>
        </w:rPr>
      </w:pPr>
    </w:p>
    <w:p w14:paraId="523C4EE8" w14:textId="77777777" w:rsidR="00A158E8" w:rsidRPr="00AB1BF8" w:rsidRDefault="00A158E8" w:rsidP="00A158E8">
      <w:pPr>
        <w:rPr>
          <w:rFonts w:ascii="Calibri" w:hAnsi="Calibri" w:cs="Calibri"/>
          <w:szCs w:val="22"/>
          <w:lang w:val="en-US"/>
        </w:rPr>
      </w:pPr>
    </w:p>
    <w:p w14:paraId="59BAAD27" w14:textId="77777777" w:rsidR="00A158E8" w:rsidRPr="00AB1BF8" w:rsidRDefault="00A158E8" w:rsidP="00A158E8">
      <w:pPr>
        <w:rPr>
          <w:rFonts w:ascii="Calibri" w:hAnsi="Calibri" w:cs="Calibri"/>
          <w:szCs w:val="22"/>
          <w:lang w:val="en-US"/>
        </w:rPr>
      </w:pPr>
    </w:p>
    <w:p w14:paraId="0F551FFD" w14:textId="77777777" w:rsidR="00A158E8" w:rsidRPr="00AB1BF8" w:rsidRDefault="00A158E8" w:rsidP="00A158E8">
      <w:pPr>
        <w:rPr>
          <w:rFonts w:ascii="Calibri" w:hAnsi="Calibri" w:cs="Calibri"/>
          <w:szCs w:val="22"/>
          <w:lang w:val="en-US"/>
        </w:rPr>
      </w:pPr>
    </w:p>
    <w:p w14:paraId="034E3E97" w14:textId="77777777" w:rsidR="00A158E8" w:rsidRPr="00AB1BF8" w:rsidRDefault="00A158E8" w:rsidP="00A158E8">
      <w:pPr>
        <w:rPr>
          <w:rFonts w:ascii="Calibri" w:hAnsi="Calibri" w:cs="Calibri"/>
          <w:szCs w:val="22"/>
          <w:lang w:val="en-US"/>
        </w:rPr>
      </w:pPr>
    </w:p>
    <w:p w14:paraId="1CD8681E" w14:textId="2C9D623C" w:rsidR="00625DD4" w:rsidRDefault="00840753" w:rsidP="00164DD5">
      <w:pPr>
        <w:ind w:left="720"/>
        <w:rPr>
          <w:rFonts w:ascii="Calibri" w:hAnsi="Calibri" w:cs="Calibri"/>
          <w:b/>
          <w:bCs/>
          <w:szCs w:val="22"/>
          <w:lang w:val="en-US"/>
        </w:rPr>
      </w:pPr>
      <w:r>
        <w:rPr>
          <w:noProof/>
        </w:rPr>
        <w:lastRenderedPageBreak/>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381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09A7F"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9CA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39B4BB2D" w14:textId="77777777" w:rsidR="001743BB" w:rsidRPr="001743BB" w:rsidRDefault="001743BB" w:rsidP="001743BB">
      <w:pPr>
        <w:jc w:val="both"/>
        <w:rPr>
          <w:rFonts w:asciiTheme="minorHAnsi" w:eastAsia="Arial" w:hAnsiTheme="minorHAnsi" w:cstheme="minorHAnsi"/>
          <w:szCs w:val="22"/>
        </w:rPr>
      </w:pPr>
      <w:r w:rsidRPr="001743BB">
        <w:rPr>
          <w:rFonts w:asciiTheme="minorHAnsi" w:eastAsia="Arial" w:hAnsiTheme="minorHAnsi" w:cstheme="minorHAnsi"/>
          <w:szCs w:val="22"/>
        </w:rPr>
        <w:t xml:space="preserve">This position will be employed within a team that supports the governance function for the North Queensland networked hub model (networked hub). Various functions of the networked hub will be provided by external stakeholders, and the team will work closely with all stakeholders to support the governance function. The networked hub will enhance the local DFV immediate responses for victim-survivors and strengthen referral pathways across the Local Governance Areas (LGA) of Townsville City, Burdekin, Hinchinbrook and Palm Island. The governance function </w:t>
      </w:r>
      <w:r w:rsidRPr="001743BB">
        <w:rPr>
          <w:rFonts w:asciiTheme="minorHAnsi" w:hAnsiTheme="minorHAnsi" w:cstheme="minorHAnsi"/>
          <w:szCs w:val="22"/>
        </w:rPr>
        <w:t>provides strategic oversight of the networked hub. The function will monitor the overall progress of the model, identify trends and emerging issues to ensure the model works effectively and efficiently for victim-survivors. This will ensure that practitioners are supported in their roles to deliver safe and effective outcomes for victim-survivors.</w:t>
      </w:r>
    </w:p>
    <w:p w14:paraId="71FA58C8" w14:textId="77777777" w:rsidR="00FC3708" w:rsidRPr="001743BB" w:rsidRDefault="005A710C">
      <w:pPr>
        <w:spacing w:before="40" w:after="40"/>
        <w:ind w:right="457"/>
        <w:rPr>
          <w:rStyle w:val="PlaceholderText"/>
          <w:rFonts w:asciiTheme="minorHAnsi" w:eastAsia="Calibri" w:hAnsiTheme="minorHAnsi" w:cstheme="minorHAnsi"/>
          <w:szCs w:val="22"/>
        </w:rPr>
      </w:pPr>
      <w:r w:rsidRPr="001743BB">
        <w:rPr>
          <w:rFonts w:asciiTheme="minorHAnsi" w:hAnsiTheme="minorHAnsi" w:cstheme="minorHAnsi"/>
          <w:szCs w:val="22"/>
        </w:rPr>
        <w:t xml:space="preserve">The Data and Quality Officer </w:t>
      </w:r>
      <w:proofErr w:type="gramStart"/>
      <w:r w:rsidRPr="001743BB">
        <w:rPr>
          <w:rFonts w:asciiTheme="minorHAnsi" w:hAnsiTheme="minorHAnsi" w:cstheme="minorHAnsi"/>
          <w:szCs w:val="22"/>
        </w:rPr>
        <w:t>supports</w:t>
      </w:r>
      <w:proofErr w:type="gramEnd"/>
      <w:r w:rsidRPr="001743BB">
        <w:rPr>
          <w:rFonts w:asciiTheme="minorHAnsi" w:hAnsiTheme="minorHAnsi" w:cstheme="minorHAnsi"/>
          <w:szCs w:val="22"/>
        </w:rPr>
        <w:t xml:space="preserve"> the Governance Lead by collating, analysing and reporting system-level data to inform governance discussions, service planning, quality improvement and evidence-informed decision-making. The role monitors demand trends, service gaps and agreed indicators; prepares clear governance reports and briefing information; supports quality processes; and contributes to continuous improvement and refinement of the service model.</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25C754F6" w14:textId="77777777" w:rsidR="00FC3708" w:rsidRPr="00A24B7B" w:rsidRDefault="00BF3405" w:rsidP="00C06866">
      <w:pPr>
        <w:rPr>
          <w:rStyle w:val="PlaceholderText"/>
          <w:rFonts w:eastAsia="Calibri"/>
        </w:rPr>
      </w:pPr>
      <w:r w:rsidRPr="00BF3405">
        <w:rPr>
          <w:rFonts w:ascii="Calibri" w:hAnsi="Calibri" w:cs="Calibri"/>
        </w:rPr>
        <w:t>The Data and Quality Officer will:</w:t>
      </w:r>
    </w:p>
    <w:p w14:paraId="3EA9C2B7" w14:textId="77777777" w:rsidR="00A30F6B" w:rsidRDefault="00A30F6B" w:rsidP="00A917FA">
      <w:pPr>
        <w:rPr>
          <w:rStyle w:val="PlaceholderText"/>
          <w:rFonts w:ascii="Calibri" w:eastAsia="Calibri" w:hAnsi="Calibri"/>
        </w:rPr>
      </w:pPr>
    </w:p>
    <w:p w14:paraId="1ECE1969" w14:textId="77777777" w:rsidR="00BF3405" w:rsidRDefault="00BF3405" w:rsidP="00BF3405">
      <w:pPr>
        <w:pStyle w:val="ListParagraph"/>
        <w:numPr>
          <w:ilvl w:val="0"/>
          <w:numId w:val="9"/>
        </w:numPr>
        <w:rPr>
          <w:kern w:val="2"/>
          <w14:ligatures w14:val="standardContextual"/>
        </w:rPr>
      </w:pPr>
      <w:r>
        <w:rPr>
          <w:rFonts w:ascii="Calibri" w:hAnsi="Calibri" w:cs="Calibri"/>
        </w:rPr>
        <w:t>Collect, collate and maintain accurate service, activity, outcome and quality data to support governance, monitoring and reporting requirements.</w:t>
      </w:r>
    </w:p>
    <w:p w14:paraId="63B1963A" w14:textId="77777777" w:rsidR="00BF3405" w:rsidRDefault="00BF3405" w:rsidP="00BF3405">
      <w:pPr>
        <w:pStyle w:val="ListParagraph"/>
        <w:numPr>
          <w:ilvl w:val="0"/>
          <w:numId w:val="9"/>
        </w:numPr>
      </w:pPr>
      <w:r>
        <w:rPr>
          <w:rFonts w:ascii="Calibri" w:hAnsi="Calibri" w:cs="Calibri"/>
        </w:rPr>
        <w:t>Analyse system-level data to identify demand trends, service gaps, emerging risks, referral patterns, access issues and opportunities for service improvement.</w:t>
      </w:r>
    </w:p>
    <w:p w14:paraId="2EDD1B0B" w14:textId="77777777" w:rsidR="00BF3405" w:rsidRDefault="00BF3405" w:rsidP="00BF3405">
      <w:pPr>
        <w:pStyle w:val="ListParagraph"/>
        <w:numPr>
          <w:ilvl w:val="0"/>
          <w:numId w:val="9"/>
        </w:numPr>
      </w:pPr>
      <w:r>
        <w:rPr>
          <w:rFonts w:ascii="Calibri" w:hAnsi="Calibri" w:cs="Calibri"/>
        </w:rPr>
        <w:t>Track agreed indicators, measures and performance information, ensuring data is current, reliable and available to inform governance discussions and decision-making.</w:t>
      </w:r>
    </w:p>
    <w:p w14:paraId="73634504" w14:textId="77777777" w:rsidR="00BF3405" w:rsidRDefault="00BF3405" w:rsidP="00BF3405">
      <w:pPr>
        <w:pStyle w:val="ListParagraph"/>
        <w:numPr>
          <w:ilvl w:val="0"/>
          <w:numId w:val="9"/>
        </w:numPr>
      </w:pPr>
      <w:r>
        <w:rPr>
          <w:rFonts w:ascii="Calibri" w:hAnsi="Calibri" w:cs="Calibri"/>
        </w:rPr>
        <w:lastRenderedPageBreak/>
        <w:t>Prepare clear, accurate and timely governance reports, dashboards, briefing papers and data summaries for the Governance Lead and relevant governance forums.</w:t>
      </w:r>
    </w:p>
    <w:p w14:paraId="425BAA5B" w14:textId="77777777" w:rsidR="00BF3405" w:rsidRDefault="00BF3405" w:rsidP="00BF3405">
      <w:pPr>
        <w:pStyle w:val="ListParagraph"/>
        <w:numPr>
          <w:ilvl w:val="0"/>
          <w:numId w:val="9"/>
        </w:numPr>
      </w:pPr>
      <w:r>
        <w:rPr>
          <w:rFonts w:ascii="Calibri" w:hAnsi="Calibri" w:cs="Calibri"/>
        </w:rPr>
        <w:t>Support quality improvement processes, including monitoring actions, reviewing trends, identifying improvement opportunities and contributing to model refinement.</w:t>
      </w:r>
    </w:p>
    <w:p w14:paraId="51A3414B" w14:textId="77777777" w:rsidR="00BF3405" w:rsidRDefault="00BF3405" w:rsidP="00BF3405">
      <w:pPr>
        <w:pStyle w:val="ListParagraph"/>
        <w:numPr>
          <w:ilvl w:val="0"/>
          <w:numId w:val="9"/>
        </w:numPr>
      </w:pPr>
      <w:r>
        <w:rPr>
          <w:rFonts w:ascii="Calibri" w:hAnsi="Calibri" w:cs="Calibri"/>
        </w:rPr>
        <w:t>Work with internal teams and stakeholders to improve data quality, consistency, documentation and reporting practices across the relevant service model.</w:t>
      </w:r>
    </w:p>
    <w:p w14:paraId="7F0CCB16" w14:textId="77777777" w:rsidR="00BF3405" w:rsidRDefault="00BF3405" w:rsidP="00BF3405">
      <w:pPr>
        <w:pStyle w:val="ListParagraph"/>
        <w:numPr>
          <w:ilvl w:val="0"/>
          <w:numId w:val="9"/>
        </w:numPr>
      </w:pPr>
      <w:r>
        <w:rPr>
          <w:rFonts w:ascii="Calibri" w:hAnsi="Calibri" w:cs="Calibri"/>
        </w:rPr>
        <w:t>Ensure data collection, reporting and information management activities comply with privacy, confidentiality, records management, funding, policy and organisational requirements.</w:t>
      </w:r>
    </w:p>
    <w:p w14:paraId="28D7F9F6" w14:textId="77777777" w:rsidR="00BF3405" w:rsidRDefault="00BF3405" w:rsidP="00BF3405">
      <w:pPr>
        <w:pStyle w:val="ListParagraph"/>
        <w:numPr>
          <w:ilvl w:val="0"/>
          <w:numId w:val="9"/>
        </w:numPr>
      </w:pPr>
      <w:r>
        <w:rPr>
          <w:rFonts w:ascii="Calibri" w:hAnsi="Calibri" w:cs="Calibri"/>
        </w:rPr>
        <w:t>Provide evidence-informed advice and information to support governance discussions, service planning, escalation of system issues and continuous improvement.</w:t>
      </w:r>
    </w:p>
    <w:p w14:paraId="009D2CA9" w14:textId="77777777" w:rsidR="00BF3405" w:rsidRDefault="00BF3405" w:rsidP="00BF3405">
      <w:pPr>
        <w:pStyle w:val="ListParagraph"/>
        <w:numPr>
          <w:ilvl w:val="0"/>
          <w:numId w:val="9"/>
        </w:numPr>
      </w:pPr>
      <w:r>
        <w:rPr>
          <w:rFonts w:ascii="Calibri" w:hAnsi="Calibri" w:cs="Calibri"/>
        </w:rPr>
        <w:t>Promote culturally safe, ethical and respectful approaches to data use, reporting and quality improvement, recognising the importance of Aboriginal and Torres Strait Islander data sovereignty and community-controlled practice.</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64B89B4F" w14:textId="77777777" w:rsidR="00FC3708" w:rsidRPr="00A24B7B" w:rsidRDefault="00A43FC2" w:rsidP="008F5A17">
      <w:pPr>
        <w:rPr>
          <w:rStyle w:val="PlaceholderText"/>
          <w:rFonts w:eastAsia="Calibri"/>
        </w:rPr>
      </w:pPr>
      <w:r w:rsidRPr="002978BA">
        <w:rPr>
          <w:rFonts w:ascii="Calibri" w:hAnsi="Calibri" w:cs="Calibri"/>
        </w:rPr>
        <w:t xml:space="preserve">This position reports directly to the </w:t>
      </w:r>
      <w:r w:rsidR="00897B89" w:rsidRPr="00897B89">
        <w:rPr>
          <w:rFonts w:ascii="Calibri" w:hAnsi="Calibri" w:cs="Calibri"/>
        </w:rPr>
        <w:t>Governance Lead</w:t>
      </w:r>
      <w:r w:rsidRPr="002978BA">
        <w:rPr>
          <w:rFonts w:ascii="Calibri" w:hAnsi="Calibri" w:cs="Calibri"/>
        </w:rPr>
        <w:t xml:space="preserve"> and </w:t>
      </w:r>
      <w:r w:rsidR="00897B89" w:rsidRPr="00897B89">
        <w:rPr>
          <w:rFonts w:ascii="Calibri" w:hAnsi="Calibri" w:cs="Calibri"/>
        </w:rPr>
        <w:t xml:space="preserve">works collaboratively with </w:t>
      </w:r>
      <w:r w:rsidRPr="002978BA">
        <w:rPr>
          <w:rFonts w:ascii="Calibri" w:hAnsi="Calibri" w:cs="Calibri"/>
        </w:rPr>
        <w:t>the Project and Administration Officer</w:t>
      </w:r>
      <w:r w:rsidR="00897B89" w:rsidRPr="00897B89">
        <w:rPr>
          <w:rFonts w:ascii="Calibri" w:hAnsi="Calibri" w:cs="Calibri"/>
        </w:rPr>
        <w:t xml:space="preserve">, </w:t>
      </w:r>
      <w:r w:rsidRPr="002978BA">
        <w:rPr>
          <w:rFonts w:ascii="Calibri" w:hAnsi="Calibri" w:cs="Calibri"/>
        </w:rPr>
        <w:t xml:space="preserve">Community and Youth Services leaders, TAIHS programs, corporate support functions, partner organisations, government agencies, funders and </w:t>
      </w:r>
      <w:r w:rsidR="00897B89" w:rsidRPr="00897B89">
        <w:rPr>
          <w:rFonts w:ascii="Calibri" w:hAnsi="Calibri" w:cs="Calibri"/>
        </w:rPr>
        <w:t>other</w:t>
      </w:r>
      <w:r w:rsidRPr="002978BA">
        <w:rPr>
          <w:rFonts w:ascii="Calibri" w:hAnsi="Calibri" w:cs="Calibri"/>
        </w:rPr>
        <w:t xml:space="preserve"> stakeholders to support effective governance, </w:t>
      </w:r>
      <w:r w:rsidR="00897B89" w:rsidRPr="00897B89">
        <w:rPr>
          <w:rFonts w:ascii="Calibri" w:hAnsi="Calibri" w:cs="Calibri"/>
        </w:rPr>
        <w:t>reporting, quality</w:t>
      </w:r>
      <w:r w:rsidRPr="002978BA">
        <w:rPr>
          <w:rFonts w:ascii="Calibri" w:hAnsi="Calibri" w:cs="Calibri"/>
        </w:rPr>
        <w:t xml:space="preserve"> improvement</w:t>
      </w:r>
      <w:r w:rsidR="00897B89" w:rsidRPr="00897B89">
        <w:rPr>
          <w:rFonts w:ascii="Calibri" w:hAnsi="Calibri" w:cs="Calibri"/>
        </w:rPr>
        <w:t xml:space="preserve"> and evidence-informed decision-making</w:t>
      </w:r>
      <w:r w:rsidRPr="002978BA">
        <w:rPr>
          <w:rFonts w:ascii="Calibri" w:hAnsi="Calibri" w:cs="Calibri"/>
        </w:rPr>
        <w:t>.</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0B635A7" w14:textId="77777777" w:rsidR="00FC3708" w:rsidRPr="00A24B7B" w:rsidRDefault="00A43FC2" w:rsidP="00AE21FE">
      <w:pPr>
        <w:rPr>
          <w:rStyle w:val="PlaceholderText"/>
          <w:rFonts w:eastAsia="Calibri"/>
        </w:rPr>
      </w:pPr>
      <w:r>
        <w:rPr>
          <w:rFonts w:ascii="Calibri" w:hAnsi="Calibri" w:cs="Calibri"/>
        </w:rPr>
        <w:t>This position exercises delegations in accordance with the TAIHS Delegations Policy and any approved operational</w:t>
      </w:r>
      <w:r w:rsidR="00561078" w:rsidRPr="00561078">
        <w:rPr>
          <w:rFonts w:ascii="Calibri" w:hAnsi="Calibri" w:cs="Calibri"/>
        </w:rPr>
        <w:t>, data, reporting</w:t>
      </w:r>
      <w:r>
        <w:rPr>
          <w:rFonts w:ascii="Calibri" w:hAnsi="Calibri" w:cs="Calibri"/>
        </w:rPr>
        <w:t xml:space="preserve"> or </w:t>
      </w:r>
      <w:r w:rsidR="00561078" w:rsidRPr="00561078">
        <w:rPr>
          <w:rFonts w:ascii="Calibri" w:hAnsi="Calibri" w:cs="Calibri"/>
        </w:rPr>
        <w:t>quality responsibilities</w:t>
      </w:r>
      <w:r>
        <w:rPr>
          <w:rFonts w:ascii="Calibri" w:hAnsi="Calibri" w:cs="Calibri"/>
        </w:rPr>
        <w:t xml:space="preserve"> assigned to the role. The position is expected to escalate matters outside its authority to the </w:t>
      </w:r>
      <w:r w:rsidR="00561078" w:rsidRPr="00561078">
        <w:rPr>
          <w:rFonts w:ascii="Calibri" w:hAnsi="Calibri" w:cs="Calibri"/>
        </w:rPr>
        <w:t>Governance Lead</w:t>
      </w:r>
      <w:r>
        <w:rPr>
          <w:rFonts w:ascii="Calibri" w:hAnsi="Calibri" w:cs="Calibri"/>
        </w:rPr>
        <w:t>.</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2BA6EF86" w14:textId="77777777" w:rsidR="00561078" w:rsidRDefault="00561078" w:rsidP="00561078">
      <w:pPr>
        <w:pStyle w:val="ListParagraph"/>
        <w:numPr>
          <w:ilvl w:val="0"/>
          <w:numId w:val="24"/>
        </w:numPr>
        <w:rPr>
          <w:kern w:val="2"/>
          <w14:ligatures w14:val="standardContextual"/>
        </w:rPr>
      </w:pPr>
      <w:r>
        <w:rPr>
          <w:rFonts w:ascii="Calibri" w:hAnsi="Calibri" w:cs="Calibri"/>
        </w:rPr>
        <w:t>Relevant qualifications and/or demonstrated experience in data, evaluation, quality improvement, public health, health information management, social policy, community services or a related field.</w:t>
      </w:r>
    </w:p>
    <w:p w14:paraId="3E3FB60E" w14:textId="77777777" w:rsidR="00561078" w:rsidRDefault="00561078" w:rsidP="00561078">
      <w:pPr>
        <w:pStyle w:val="ListParagraph"/>
        <w:numPr>
          <w:ilvl w:val="0"/>
          <w:numId w:val="24"/>
        </w:numPr>
      </w:pPr>
      <w:r>
        <w:rPr>
          <w:rFonts w:ascii="Calibri" w:hAnsi="Calibri" w:cs="Calibri"/>
        </w:rPr>
        <w:t>Demonstrated capability to collate, analyse and interpret service, activity, outcome and quality data to support governance reporting and decision-making.</w:t>
      </w:r>
    </w:p>
    <w:p w14:paraId="2D3810C7" w14:textId="77777777" w:rsidR="00561078" w:rsidRDefault="00561078" w:rsidP="00561078">
      <w:pPr>
        <w:pStyle w:val="ListParagraph"/>
        <w:numPr>
          <w:ilvl w:val="0"/>
          <w:numId w:val="24"/>
        </w:numPr>
      </w:pPr>
      <w:r>
        <w:rPr>
          <w:rFonts w:ascii="Calibri" w:hAnsi="Calibri" w:cs="Calibri"/>
        </w:rPr>
        <w:t>Experience preparing clear reports, dashboards, briefing papers or data summaries for governance, management or quality improvement purposes.</w:t>
      </w:r>
    </w:p>
    <w:p w14:paraId="5AE86607" w14:textId="77777777" w:rsidR="00561078" w:rsidRDefault="00561078" w:rsidP="00561078">
      <w:pPr>
        <w:pStyle w:val="ListParagraph"/>
        <w:numPr>
          <w:ilvl w:val="0"/>
          <w:numId w:val="24"/>
        </w:numPr>
      </w:pPr>
      <w:r>
        <w:rPr>
          <w:rFonts w:ascii="Calibri" w:hAnsi="Calibri" w:cs="Calibri"/>
        </w:rPr>
        <w:t>Knowledge of data quality, privacy, confidentiality, records management and ethical information handling requirements.</w:t>
      </w:r>
    </w:p>
    <w:p w14:paraId="209EFC2D" w14:textId="77777777" w:rsidR="00561078" w:rsidRDefault="00561078" w:rsidP="00561078">
      <w:pPr>
        <w:pStyle w:val="ListParagraph"/>
        <w:numPr>
          <w:ilvl w:val="0"/>
          <w:numId w:val="24"/>
        </w:numPr>
      </w:pPr>
      <w:r>
        <w:rPr>
          <w:rFonts w:ascii="Calibri" w:hAnsi="Calibri" w:cs="Calibri"/>
        </w:rPr>
        <w:t>Ability to support quality improvement processes, monitor agreed indicators and contribute to evidence-informed service planning and model refinement.</w:t>
      </w:r>
    </w:p>
    <w:p w14:paraId="4CD17309" w14:textId="483BA398" w:rsidR="00292997" w:rsidRDefault="00292997" w:rsidP="00A917FA">
      <w:pPr>
        <w:rPr>
          <w:rFonts w:ascii="Calibri" w:hAnsi="Calibri" w:cs="Arial"/>
          <w:b/>
          <w:snapToGrid w:val="0"/>
          <w:color w:val="000000"/>
          <w:szCs w:val="22"/>
        </w:rPr>
      </w:pP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A917FA">
      <w:pPr>
        <w:pStyle w:val="RequirementsList"/>
        <w:numPr>
          <w:ilvl w:val="0"/>
          <w:numId w:val="5"/>
        </w:numPr>
        <w:spacing w:before="0" w:after="0" w:line="276"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7777777"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(or AHPRA registration if required)</w:t>
      </w:r>
    </w:p>
    <w:p w14:paraId="42856EB8" w14:textId="77777777"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A917FA">
        <w:rPr>
          <w:rFonts w:ascii="Calibri" w:hAnsi="Calibri" w:cs="Calibri"/>
          <w:sz w:val="22"/>
          <w:szCs w:val="22"/>
        </w:rPr>
        <w:t>Current C Class Drivers Licence (Qld) (remove as required if not mandatory)</w:t>
      </w:r>
    </w:p>
    <w:p w14:paraId="2163DD0B" w14:textId="77777777" w:rsidR="00DE7BC1" w:rsidRDefault="005F1242" w:rsidP="00A917FA">
      <w:pPr>
        <w:pStyle w:val="RequirementsList"/>
        <w:numPr>
          <w:ilvl w:val="0"/>
          <w:numId w:val="5"/>
        </w:numPr>
        <w:spacing w:before="0" w:after="0" w:line="276"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5A334BFD"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4393672D" w14:textId="77777777" w:rsidR="005C45EE" w:rsidRPr="00DD1662" w:rsidRDefault="005C45EE" w:rsidP="005C45EE">
      <w:pPr>
        <w:pStyle w:val="RequirementsList"/>
        <w:spacing w:before="0" w:after="0" w:line="276" w:lineRule="auto"/>
        <w:ind w:left="714"/>
        <w:rPr>
          <w:rFonts w:ascii="Calibri" w:hAnsi="Calibri" w:cs="Calibri"/>
          <w:sz w:val="22"/>
          <w:szCs w:val="22"/>
        </w:rPr>
      </w:pP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105A9D76" w14:textId="77777777" w:rsidR="00561078" w:rsidRDefault="00561078" w:rsidP="00561078">
      <w:pPr>
        <w:pStyle w:val="RequirementsList"/>
        <w:numPr>
          <w:ilvl w:val="0"/>
          <w:numId w:val="7"/>
        </w:numPr>
        <w:rPr>
          <w:kern w:val="2"/>
          <w:szCs w:val="16"/>
          <w14:ligatures w14:val="standardContextual"/>
        </w:rPr>
      </w:pPr>
      <w:r>
        <w:rPr>
          <w:rFonts w:ascii="Calibri" w:hAnsi="Calibri" w:cs="Calibri"/>
          <w:sz w:val="22"/>
          <w:szCs w:val="22"/>
        </w:rPr>
        <w:t>Strong analytical and problem-solving skills, with the ability to interpret data, identify trends and translate information into clear advice for governance and service improvement.</w:t>
      </w:r>
    </w:p>
    <w:p w14:paraId="7F57698B" w14:textId="77777777" w:rsidR="00561078" w:rsidRDefault="00561078" w:rsidP="00561078">
      <w:pPr>
        <w:pStyle w:val="RequirementsList"/>
        <w:numPr>
          <w:ilvl w:val="0"/>
          <w:numId w:val="7"/>
        </w:numPr>
      </w:pPr>
      <w:r>
        <w:rPr>
          <w:rFonts w:ascii="Calibri" w:hAnsi="Calibri" w:cs="Calibri"/>
          <w:sz w:val="22"/>
          <w:szCs w:val="22"/>
        </w:rPr>
        <w:t>High level attention to detail, accuracy and accountability in data collection, analysis, reporting and records management.</w:t>
      </w:r>
    </w:p>
    <w:p w14:paraId="5778E3BE" w14:textId="77777777" w:rsidR="00561078" w:rsidRDefault="00561078" w:rsidP="00561078">
      <w:pPr>
        <w:pStyle w:val="RequirementsList"/>
        <w:numPr>
          <w:ilvl w:val="0"/>
          <w:numId w:val="7"/>
        </w:numPr>
      </w:pPr>
      <w:r>
        <w:rPr>
          <w:rFonts w:ascii="Calibri" w:hAnsi="Calibri" w:cs="Calibri"/>
          <w:sz w:val="22"/>
          <w:szCs w:val="22"/>
        </w:rPr>
        <w:t>Demonstrated commitment to Aboriginal and Torres Strait Islander community control, cultural governance, cultural safety and respectful engagement with community, Elders, families and stakeholders.</w:t>
      </w:r>
    </w:p>
    <w:p w14:paraId="53C5DFBE" w14:textId="77777777" w:rsidR="00561078" w:rsidRDefault="00561078" w:rsidP="00561078">
      <w:pPr>
        <w:pStyle w:val="RequirementsList"/>
        <w:numPr>
          <w:ilvl w:val="0"/>
          <w:numId w:val="7"/>
        </w:numPr>
      </w:pPr>
      <w:r>
        <w:rPr>
          <w:rFonts w:ascii="Calibri" w:hAnsi="Calibri" w:cs="Calibri"/>
          <w:sz w:val="22"/>
          <w:szCs w:val="22"/>
        </w:rPr>
        <w:t>Strong written and verbal communication skills, including the ability to prepare concise reports, present data clearly and explain findings to a range of audiences.</w:t>
      </w:r>
    </w:p>
    <w:p w14:paraId="69254F31" w14:textId="77777777" w:rsidR="00561078" w:rsidRDefault="00561078" w:rsidP="00561078">
      <w:pPr>
        <w:pStyle w:val="RequirementsList"/>
        <w:numPr>
          <w:ilvl w:val="0"/>
          <w:numId w:val="7"/>
        </w:numPr>
      </w:pPr>
      <w:r>
        <w:rPr>
          <w:rFonts w:ascii="Calibri" w:hAnsi="Calibri" w:cs="Calibri"/>
          <w:sz w:val="22"/>
          <w:szCs w:val="22"/>
        </w:rPr>
        <w:t xml:space="preserve">Highly </w:t>
      </w:r>
      <w:proofErr w:type="spellStart"/>
      <w:r>
        <w:rPr>
          <w:rFonts w:ascii="Calibri" w:hAnsi="Calibri" w:cs="Calibri"/>
          <w:sz w:val="22"/>
          <w:szCs w:val="22"/>
        </w:rPr>
        <w:t>organised</w:t>
      </w:r>
      <w:proofErr w:type="spellEnd"/>
      <w:r>
        <w:rPr>
          <w:rFonts w:ascii="Calibri" w:hAnsi="Calibri" w:cs="Calibri"/>
          <w:sz w:val="22"/>
          <w:szCs w:val="22"/>
        </w:rPr>
        <w:t>, responsive and collaborative, with the ability to manage competing priorities, meet reporting timelines and support effective governance processes.</w:t>
      </w: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A917FA">
      <w:pPr>
        <w:pStyle w:val="RequirementsList"/>
        <w:numPr>
          <w:ilvl w:val="0"/>
          <w:numId w:val="7"/>
        </w:numPr>
        <w:spacing w:before="0" w:after="0" w:line="276"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3C3AB7D7" w14:textId="77777777" w:rsidR="00B6512A" w:rsidRPr="00DD3EFD" w:rsidRDefault="00B6512A" w:rsidP="00B6512A">
      <w:pPr>
        <w:pStyle w:val="RequirementsList"/>
        <w:numPr>
          <w:ilvl w:val="0"/>
          <w:numId w:val="7"/>
        </w:numPr>
        <w:spacing w:before="0" w:after="0" w:line="240" w:lineRule="auto"/>
        <w:rPr>
          <w:rStyle w:val="PlaceholderText"/>
          <w:rFonts w:ascii="Calibri" w:hAnsi="Calibri" w:cs="Calibri"/>
          <w:color w:val="auto"/>
          <w:sz w:val="22"/>
          <w:szCs w:val="22"/>
        </w:rPr>
      </w:pPr>
      <w:r w:rsidRPr="0090008E">
        <w:rPr>
          <w:rFonts w:ascii="Calibri" w:hAnsi="Calibri" w:cs="Calibri"/>
          <w:sz w:val="22"/>
          <w:szCs w:val="22"/>
          <w:lang w:val="en-AU"/>
        </w:rPr>
        <w:t xml:space="preserve">TAIHS staff may be exposed to infectious diseases at work, and some patients, clients and community members may be more at risk of becoming very unwell. To help keep everyone safe, </w:t>
      </w:r>
      <w:r w:rsidRPr="0090008E">
        <w:rPr>
          <w:rFonts w:ascii="Calibri" w:hAnsi="Calibri" w:cs="Calibri"/>
          <w:sz w:val="22"/>
          <w:szCs w:val="22"/>
          <w:lang w:val="en-AU"/>
        </w:rPr>
        <w:lastRenderedPageBreak/>
        <w:t>TAIHS strongly recommends that staff stay up to date with their immunisations</w:t>
      </w:r>
      <w:r>
        <w:rPr>
          <w:rFonts w:ascii="Calibri" w:hAnsi="Calibri" w:cs="Calibri"/>
          <w:sz w:val="22"/>
          <w:szCs w:val="22"/>
          <w:lang w:val="en-AU"/>
        </w:rPr>
        <w:t>, which are listed in the TAIHS Staff Immunisation Guidelines</w:t>
      </w:r>
    </w:p>
    <w:p w14:paraId="3FD44AC8" w14:textId="77777777" w:rsidR="00B6512A" w:rsidRPr="00B6512A" w:rsidRDefault="00B6512A" w:rsidP="00B6512A">
      <w:pPr>
        <w:pStyle w:val="ListParagraph"/>
        <w:ind w:left="780"/>
        <w:rPr>
          <w:rStyle w:val="PlaceholderText"/>
          <w:color w:val="auto"/>
        </w:rPr>
      </w:pP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w:t>
      </w:r>
      <w:proofErr w:type="gramStart"/>
      <w:r w:rsidR="004217C2" w:rsidRPr="004217C2">
        <w:rPr>
          <w:rFonts w:ascii="Calibri" w:hAnsi="Calibri" w:cs="Calibri"/>
          <w:sz w:val="22"/>
          <w:szCs w:val="22"/>
        </w:rPr>
        <w:t>people</w:t>
      </w:r>
      <w:proofErr w:type="gramEnd"/>
      <w:r w:rsidR="004217C2" w:rsidRPr="004217C2">
        <w:rPr>
          <w:rFonts w:ascii="Calibri" w:hAnsi="Calibri" w:cs="Calibri"/>
          <w:sz w:val="22"/>
          <w:szCs w:val="22"/>
        </w:rPr>
        <w:t xml:space="preserv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2A9ACE38">
            <wp:simplePos x="0" y="0"/>
            <wp:positionH relativeFrom="column">
              <wp:posOffset>1527810</wp:posOffset>
            </wp:positionH>
            <wp:positionV relativeFrom="paragraph">
              <wp:posOffset>5377815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7D82" w14:textId="77777777" w:rsidR="00F576BA" w:rsidRDefault="00F576BA">
      <w:r>
        <w:separator/>
      </w:r>
    </w:p>
  </w:endnote>
  <w:endnote w:type="continuationSeparator" w:id="0">
    <w:p w14:paraId="14740EBB" w14:textId="77777777" w:rsidR="00F576BA" w:rsidRDefault="00F5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21488A16"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B6512A">
      <w:rPr>
        <w:rFonts w:ascii="Calibri" w:hAnsi="Calibri" w:cs="Calibri"/>
        <w:noProof/>
        <w:sz w:val="16"/>
      </w:rPr>
      <w:t>2593 Position description  Data and Quality Officer</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F634" w14:textId="77777777" w:rsidR="00F576BA" w:rsidRDefault="00F576BA">
      <w:r>
        <w:separator/>
      </w:r>
    </w:p>
  </w:footnote>
  <w:footnote w:type="continuationSeparator" w:id="0">
    <w:p w14:paraId="3978C8BE" w14:textId="77777777" w:rsidR="00F576BA" w:rsidRDefault="00F5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E8250CB"/>
    <w:multiLevelType w:val="multilevel"/>
    <w:tmpl w:val="771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7191"/>
    <w:multiLevelType w:val="multilevel"/>
    <w:tmpl w:val="216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5633F"/>
    <w:multiLevelType w:val="multilevel"/>
    <w:tmpl w:val="8D46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605BB"/>
    <w:multiLevelType w:val="multilevel"/>
    <w:tmpl w:val="EDD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702CF"/>
    <w:multiLevelType w:val="multilevel"/>
    <w:tmpl w:val="CF3E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50E9C"/>
    <w:multiLevelType w:val="multilevel"/>
    <w:tmpl w:val="5A6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B23B6"/>
    <w:multiLevelType w:val="multilevel"/>
    <w:tmpl w:val="697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D5081"/>
    <w:multiLevelType w:val="multilevel"/>
    <w:tmpl w:val="673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21DEB"/>
    <w:multiLevelType w:val="multilevel"/>
    <w:tmpl w:val="F3EE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B6B95"/>
    <w:multiLevelType w:val="multilevel"/>
    <w:tmpl w:val="0B0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26745"/>
    <w:multiLevelType w:val="multilevel"/>
    <w:tmpl w:val="308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513E8F"/>
    <w:multiLevelType w:val="multilevel"/>
    <w:tmpl w:val="71F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4101F1"/>
    <w:multiLevelType w:val="multilevel"/>
    <w:tmpl w:val="496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E6049A"/>
    <w:multiLevelType w:val="multilevel"/>
    <w:tmpl w:val="683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78A0E06"/>
    <w:multiLevelType w:val="multilevel"/>
    <w:tmpl w:val="5D6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086B8C"/>
    <w:multiLevelType w:val="multilevel"/>
    <w:tmpl w:val="6F4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9516B"/>
    <w:multiLevelType w:val="multilevel"/>
    <w:tmpl w:val="569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31E4A"/>
    <w:multiLevelType w:val="multilevel"/>
    <w:tmpl w:val="819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926EE"/>
    <w:multiLevelType w:val="multilevel"/>
    <w:tmpl w:val="759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11"/>
  </w:num>
  <w:num w:numId="2" w16cid:durableId="607464999">
    <w:abstractNumId w:val="18"/>
  </w:num>
  <w:num w:numId="3" w16cid:durableId="1311136552">
    <w:abstractNumId w:val="26"/>
  </w:num>
  <w:num w:numId="4" w16cid:durableId="1377506258">
    <w:abstractNumId w:val="27"/>
  </w:num>
  <w:num w:numId="5" w16cid:durableId="603073618">
    <w:abstractNumId w:val="10"/>
  </w:num>
  <w:num w:numId="6" w16cid:durableId="221067427">
    <w:abstractNumId w:val="20"/>
  </w:num>
  <w:num w:numId="7" w16cid:durableId="2078745955">
    <w:abstractNumId w:val="0"/>
  </w:num>
  <w:num w:numId="8" w16cid:durableId="177623784">
    <w:abstractNumId w:val="16"/>
  </w:num>
  <w:num w:numId="9" w16cid:durableId="1622881949">
    <w:abstractNumId w:val="14"/>
  </w:num>
  <w:num w:numId="10" w16cid:durableId="1241213652">
    <w:abstractNumId w:val="9"/>
  </w:num>
  <w:num w:numId="11" w16cid:durableId="1475754272">
    <w:abstractNumId w:val="19"/>
  </w:num>
  <w:num w:numId="12" w16cid:durableId="1725056673">
    <w:abstractNumId w:val="25"/>
  </w:num>
  <w:num w:numId="13" w16cid:durableId="1733385891">
    <w:abstractNumId w:val="1"/>
  </w:num>
  <w:num w:numId="14" w16cid:durableId="1584802200">
    <w:abstractNumId w:val="6"/>
  </w:num>
  <w:num w:numId="15" w16cid:durableId="1569068680">
    <w:abstractNumId w:val="24"/>
  </w:num>
  <w:num w:numId="16" w16cid:durableId="226115605">
    <w:abstractNumId w:val="15"/>
  </w:num>
  <w:num w:numId="17" w16cid:durableId="1238441624">
    <w:abstractNumId w:val="23"/>
  </w:num>
  <w:num w:numId="18" w16cid:durableId="1121343578">
    <w:abstractNumId w:val="13"/>
  </w:num>
  <w:num w:numId="19" w16cid:durableId="1473671938">
    <w:abstractNumId w:val="22"/>
  </w:num>
  <w:num w:numId="20" w16cid:durableId="1430588652">
    <w:abstractNumId w:val="12"/>
  </w:num>
  <w:num w:numId="21" w16cid:durableId="1313490077">
    <w:abstractNumId w:val="7"/>
  </w:num>
  <w:num w:numId="22" w16cid:durableId="1028875049">
    <w:abstractNumId w:val="3"/>
  </w:num>
  <w:num w:numId="23" w16cid:durableId="1392192708">
    <w:abstractNumId w:val="8"/>
  </w:num>
  <w:num w:numId="24" w16cid:durableId="1731534940">
    <w:abstractNumId w:val="17"/>
  </w:num>
  <w:num w:numId="25" w16cid:durableId="193538848">
    <w:abstractNumId w:val="4"/>
  </w:num>
  <w:num w:numId="26" w16cid:durableId="1366102431">
    <w:abstractNumId w:val="21"/>
  </w:num>
  <w:num w:numId="27" w16cid:durableId="2129658931">
    <w:abstractNumId w:val="2"/>
  </w:num>
  <w:num w:numId="28" w16cid:durableId="30188419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5B9"/>
    <w:rsid w:val="00044DB7"/>
    <w:rsid w:val="0004698C"/>
    <w:rsid w:val="000539D5"/>
    <w:rsid w:val="00056905"/>
    <w:rsid w:val="00061D60"/>
    <w:rsid w:val="00075FDF"/>
    <w:rsid w:val="000768BC"/>
    <w:rsid w:val="000856D9"/>
    <w:rsid w:val="000A0836"/>
    <w:rsid w:val="000B17FD"/>
    <w:rsid w:val="000B3392"/>
    <w:rsid w:val="000B43DF"/>
    <w:rsid w:val="000C0D61"/>
    <w:rsid w:val="000F4EFF"/>
    <w:rsid w:val="001063AD"/>
    <w:rsid w:val="001111AE"/>
    <w:rsid w:val="00114C9B"/>
    <w:rsid w:val="0013028D"/>
    <w:rsid w:val="001314ED"/>
    <w:rsid w:val="00133D05"/>
    <w:rsid w:val="001514D9"/>
    <w:rsid w:val="001518A1"/>
    <w:rsid w:val="00155FEC"/>
    <w:rsid w:val="00163C3F"/>
    <w:rsid w:val="00164DD5"/>
    <w:rsid w:val="00166D88"/>
    <w:rsid w:val="001743BB"/>
    <w:rsid w:val="001767E0"/>
    <w:rsid w:val="001A153D"/>
    <w:rsid w:val="001A23F9"/>
    <w:rsid w:val="001A4FAC"/>
    <w:rsid w:val="001A57F4"/>
    <w:rsid w:val="001B3C66"/>
    <w:rsid w:val="001C198A"/>
    <w:rsid w:val="001D1ED4"/>
    <w:rsid w:val="001E1DEB"/>
    <w:rsid w:val="001E4968"/>
    <w:rsid w:val="001E5EBB"/>
    <w:rsid w:val="001F4034"/>
    <w:rsid w:val="001F668A"/>
    <w:rsid w:val="0020033B"/>
    <w:rsid w:val="002005A7"/>
    <w:rsid w:val="00201637"/>
    <w:rsid w:val="00204584"/>
    <w:rsid w:val="00205E44"/>
    <w:rsid w:val="00211E75"/>
    <w:rsid w:val="002133E1"/>
    <w:rsid w:val="002229AC"/>
    <w:rsid w:val="00227AA0"/>
    <w:rsid w:val="00234174"/>
    <w:rsid w:val="00240F70"/>
    <w:rsid w:val="00241E43"/>
    <w:rsid w:val="002422CF"/>
    <w:rsid w:val="0025376C"/>
    <w:rsid w:val="00257BFB"/>
    <w:rsid w:val="002602A3"/>
    <w:rsid w:val="002607A7"/>
    <w:rsid w:val="002657DF"/>
    <w:rsid w:val="00265B5C"/>
    <w:rsid w:val="00277773"/>
    <w:rsid w:val="00280F99"/>
    <w:rsid w:val="00283074"/>
    <w:rsid w:val="00283B7B"/>
    <w:rsid w:val="00292997"/>
    <w:rsid w:val="002978BA"/>
    <w:rsid w:val="002A7CAD"/>
    <w:rsid w:val="002C01B3"/>
    <w:rsid w:val="002C42BA"/>
    <w:rsid w:val="002C67D4"/>
    <w:rsid w:val="002D70D3"/>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D1FC0"/>
    <w:rsid w:val="003F72AC"/>
    <w:rsid w:val="00404BCD"/>
    <w:rsid w:val="004067D5"/>
    <w:rsid w:val="004115E9"/>
    <w:rsid w:val="00420962"/>
    <w:rsid w:val="004217C2"/>
    <w:rsid w:val="004240AF"/>
    <w:rsid w:val="00435AA8"/>
    <w:rsid w:val="00446F1E"/>
    <w:rsid w:val="0045602F"/>
    <w:rsid w:val="004678EF"/>
    <w:rsid w:val="00467B88"/>
    <w:rsid w:val="00476BC1"/>
    <w:rsid w:val="00477908"/>
    <w:rsid w:val="00477A6B"/>
    <w:rsid w:val="00477FE4"/>
    <w:rsid w:val="004837FE"/>
    <w:rsid w:val="00484705"/>
    <w:rsid w:val="004A1F83"/>
    <w:rsid w:val="004A5BFF"/>
    <w:rsid w:val="004A7391"/>
    <w:rsid w:val="004B3918"/>
    <w:rsid w:val="004D0351"/>
    <w:rsid w:val="004D2DDA"/>
    <w:rsid w:val="004E3AAA"/>
    <w:rsid w:val="004F54D0"/>
    <w:rsid w:val="00512323"/>
    <w:rsid w:val="0051586F"/>
    <w:rsid w:val="00541C41"/>
    <w:rsid w:val="00543DD2"/>
    <w:rsid w:val="00561078"/>
    <w:rsid w:val="005618F8"/>
    <w:rsid w:val="00561B51"/>
    <w:rsid w:val="005625B4"/>
    <w:rsid w:val="005633D4"/>
    <w:rsid w:val="00563B62"/>
    <w:rsid w:val="00571B75"/>
    <w:rsid w:val="00571C4E"/>
    <w:rsid w:val="00572FB2"/>
    <w:rsid w:val="005857B0"/>
    <w:rsid w:val="00585D6F"/>
    <w:rsid w:val="005A4574"/>
    <w:rsid w:val="005A4823"/>
    <w:rsid w:val="005A49F4"/>
    <w:rsid w:val="005A710C"/>
    <w:rsid w:val="005B3721"/>
    <w:rsid w:val="005B4BE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0CE6"/>
    <w:rsid w:val="00697F76"/>
    <w:rsid w:val="006A182A"/>
    <w:rsid w:val="006A343B"/>
    <w:rsid w:val="006A42D9"/>
    <w:rsid w:val="006C290D"/>
    <w:rsid w:val="006C4703"/>
    <w:rsid w:val="006C5DB1"/>
    <w:rsid w:val="006D0402"/>
    <w:rsid w:val="006D2591"/>
    <w:rsid w:val="006E0130"/>
    <w:rsid w:val="006E1AF6"/>
    <w:rsid w:val="006E229C"/>
    <w:rsid w:val="006F3024"/>
    <w:rsid w:val="006F5CE2"/>
    <w:rsid w:val="006F7B56"/>
    <w:rsid w:val="00704D2E"/>
    <w:rsid w:val="00707EFD"/>
    <w:rsid w:val="00713DAE"/>
    <w:rsid w:val="007177F6"/>
    <w:rsid w:val="007337A5"/>
    <w:rsid w:val="00734DC1"/>
    <w:rsid w:val="00761004"/>
    <w:rsid w:val="00763126"/>
    <w:rsid w:val="007662CA"/>
    <w:rsid w:val="00770D16"/>
    <w:rsid w:val="0077795E"/>
    <w:rsid w:val="00780014"/>
    <w:rsid w:val="007922EF"/>
    <w:rsid w:val="007937B8"/>
    <w:rsid w:val="00796706"/>
    <w:rsid w:val="007B4D29"/>
    <w:rsid w:val="007C491B"/>
    <w:rsid w:val="007D04DA"/>
    <w:rsid w:val="007D4F72"/>
    <w:rsid w:val="007E50FC"/>
    <w:rsid w:val="007F1809"/>
    <w:rsid w:val="0080745C"/>
    <w:rsid w:val="00813C4C"/>
    <w:rsid w:val="0081431E"/>
    <w:rsid w:val="0082310C"/>
    <w:rsid w:val="0082337A"/>
    <w:rsid w:val="00831B8D"/>
    <w:rsid w:val="00840753"/>
    <w:rsid w:val="00846CF9"/>
    <w:rsid w:val="008639FF"/>
    <w:rsid w:val="008666C6"/>
    <w:rsid w:val="00867F64"/>
    <w:rsid w:val="00873739"/>
    <w:rsid w:val="00874B91"/>
    <w:rsid w:val="008777C5"/>
    <w:rsid w:val="008819C9"/>
    <w:rsid w:val="0089335B"/>
    <w:rsid w:val="0089645A"/>
    <w:rsid w:val="00897B89"/>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D23D2"/>
    <w:rsid w:val="009E2F2E"/>
    <w:rsid w:val="009E3AA7"/>
    <w:rsid w:val="009E4C96"/>
    <w:rsid w:val="009E4DB5"/>
    <w:rsid w:val="009E670E"/>
    <w:rsid w:val="00A06D9C"/>
    <w:rsid w:val="00A158E8"/>
    <w:rsid w:val="00A217D8"/>
    <w:rsid w:val="00A24B7B"/>
    <w:rsid w:val="00A30F6B"/>
    <w:rsid w:val="00A34BE8"/>
    <w:rsid w:val="00A368BA"/>
    <w:rsid w:val="00A43FC2"/>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1BF8"/>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5396A"/>
    <w:rsid w:val="00B640E8"/>
    <w:rsid w:val="00B6512A"/>
    <w:rsid w:val="00B86116"/>
    <w:rsid w:val="00B86C90"/>
    <w:rsid w:val="00BA09D1"/>
    <w:rsid w:val="00BA2A16"/>
    <w:rsid w:val="00BD1FD7"/>
    <w:rsid w:val="00BD296A"/>
    <w:rsid w:val="00BE137C"/>
    <w:rsid w:val="00BE3E4C"/>
    <w:rsid w:val="00BF3405"/>
    <w:rsid w:val="00BF68F9"/>
    <w:rsid w:val="00C06420"/>
    <w:rsid w:val="00C20E95"/>
    <w:rsid w:val="00C21D5F"/>
    <w:rsid w:val="00C41CF3"/>
    <w:rsid w:val="00C472E3"/>
    <w:rsid w:val="00C50867"/>
    <w:rsid w:val="00C52DB8"/>
    <w:rsid w:val="00C64C2D"/>
    <w:rsid w:val="00C67F80"/>
    <w:rsid w:val="00C73599"/>
    <w:rsid w:val="00C7691E"/>
    <w:rsid w:val="00C80943"/>
    <w:rsid w:val="00C81309"/>
    <w:rsid w:val="00C83247"/>
    <w:rsid w:val="00C83BE3"/>
    <w:rsid w:val="00C84115"/>
    <w:rsid w:val="00C92427"/>
    <w:rsid w:val="00CA1878"/>
    <w:rsid w:val="00CA2D91"/>
    <w:rsid w:val="00CB2C9A"/>
    <w:rsid w:val="00CC0787"/>
    <w:rsid w:val="00CC2454"/>
    <w:rsid w:val="00CD4356"/>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4DAE"/>
    <w:rsid w:val="00DC5229"/>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0079"/>
    <w:rsid w:val="00E71379"/>
    <w:rsid w:val="00E715ED"/>
    <w:rsid w:val="00E716DE"/>
    <w:rsid w:val="00E760B0"/>
    <w:rsid w:val="00E9748D"/>
    <w:rsid w:val="00EB173E"/>
    <w:rsid w:val="00EB5382"/>
    <w:rsid w:val="00EB667E"/>
    <w:rsid w:val="00EC14AE"/>
    <w:rsid w:val="00EC281D"/>
    <w:rsid w:val="00F037AE"/>
    <w:rsid w:val="00F20A5B"/>
    <w:rsid w:val="00F20D47"/>
    <w:rsid w:val="00F27A9A"/>
    <w:rsid w:val="00F319D7"/>
    <w:rsid w:val="00F31C68"/>
    <w:rsid w:val="00F37995"/>
    <w:rsid w:val="00F42E0A"/>
    <w:rsid w:val="00F44B4E"/>
    <w:rsid w:val="00F46791"/>
    <w:rsid w:val="00F576BA"/>
    <w:rsid w:val="00F70248"/>
    <w:rsid w:val="00F72DF1"/>
    <w:rsid w:val="00F8744F"/>
    <w:rsid w:val="00F9355F"/>
    <w:rsid w:val="00FA30E4"/>
    <w:rsid w:val="00FA548A"/>
    <w:rsid w:val="00FA5C7E"/>
    <w:rsid w:val="00FB4001"/>
    <w:rsid w:val="00FC3708"/>
    <w:rsid w:val="00FC5BF4"/>
    <w:rsid w:val="00FC6110"/>
    <w:rsid w:val="00FD2EB5"/>
    <w:rsid w:val="00FD507E"/>
    <w:rsid w:val="00FE3DBC"/>
    <w:rsid w:val="00FE70DB"/>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1951</Words>
  <Characters>10537</Characters>
  <Application>Microsoft Office Word</Application>
  <DocSecurity>0</DocSecurity>
  <Lines>619</Lines>
  <Paragraphs>402</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12086</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5</cp:revision>
  <cp:lastPrinted>2012-02-24T06:15:00Z</cp:lastPrinted>
  <dcterms:created xsi:type="dcterms:W3CDTF">2026-07-14T07:14:00Z</dcterms:created>
  <dcterms:modified xsi:type="dcterms:W3CDTF">2026-07-16T05:18:00Z</dcterms:modified>
</cp:coreProperties>
</file>